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63" w:rsidRDefault="00C05A6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05A63" w:rsidRDefault="00C05A63">
      <w:pPr>
        <w:pStyle w:val="newncpi"/>
        <w:ind w:firstLine="0"/>
        <w:jc w:val="center"/>
      </w:pPr>
      <w:r>
        <w:rPr>
          <w:rStyle w:val="datepr"/>
        </w:rPr>
        <w:t>10 сентября 2008 г.</w:t>
      </w:r>
      <w:r>
        <w:rPr>
          <w:rStyle w:val="number"/>
        </w:rPr>
        <w:t xml:space="preserve"> № 1326</w:t>
      </w:r>
    </w:p>
    <w:p w:rsidR="00C05A63" w:rsidRDefault="00C05A63">
      <w:pPr>
        <w:pStyle w:val="title"/>
      </w:pPr>
      <w:r>
        <w:t>О некоторых вопросах размещения объектов придорожного сервиса</w:t>
      </w:r>
    </w:p>
    <w:p w:rsidR="00C05A63" w:rsidRDefault="00C05A63">
      <w:pPr>
        <w:pStyle w:val="changei"/>
      </w:pPr>
      <w:r>
        <w:t>Изменения и дополнения:</w:t>
      </w:r>
    </w:p>
    <w:p w:rsidR="00C05A63" w:rsidRDefault="00C05A63">
      <w:pPr>
        <w:pStyle w:val="changeadd"/>
      </w:pPr>
      <w:r>
        <w:t>Постановление Совета Министров Республики Беларусь от 16 марта 2011 г. № 321 (Национальный реестр правовых актов Республики Беларусь, 2011 г., № 35, 5/33480) &lt;C21100321&gt;;</w:t>
      </w:r>
    </w:p>
    <w:p w:rsidR="00C05A63" w:rsidRDefault="00C05A63">
      <w:pPr>
        <w:pStyle w:val="changeadd"/>
      </w:pPr>
      <w:r>
        <w:t>Постановление Совета Министров Республики Беларусь от 28 марта 2012 г. № 277 (Национальный реестр правовых актов Республики Беларусь, 2012 г., № 39, 5/35475) &lt;C21200277&gt;;</w:t>
      </w:r>
    </w:p>
    <w:p w:rsidR="00C05A63" w:rsidRDefault="00C05A63">
      <w:pPr>
        <w:pStyle w:val="changeadd"/>
      </w:pPr>
      <w:r>
        <w:t>Постановление Совета Министров Республики Беларусь от 5 августа 2013 г. № 687 (Национальный правовой Интернет-портал Республики Беларусь, 08.08.2013, 5/37649) &lt;C21300687&gt;;</w:t>
      </w:r>
    </w:p>
    <w:p w:rsidR="00C05A63" w:rsidRDefault="00C05A63">
      <w:pPr>
        <w:pStyle w:val="changeadd"/>
      </w:pPr>
      <w:r>
        <w:t>Постановление Совета Министров Республики Беларусь от 29 августа 2013 г. № 759 (Национальный правовой Интернет-портал Республики Беларусь, 03.09.2013, 5/37736) &lt;C21300759&gt;;</w:t>
      </w:r>
    </w:p>
    <w:p w:rsidR="00C05A63" w:rsidRDefault="00C05A63">
      <w:pPr>
        <w:pStyle w:val="changeadd"/>
      </w:pPr>
      <w:r>
        <w:t>Постановление Совета Министров Республики Беларусь от 9 июля 2014 г. № 660 (Национальный правовой Интернет-портал Республики Беларусь, 12.07.2014, 5/39112) &lt;C21400660&gt;</w:t>
      </w:r>
    </w:p>
    <w:p w:rsidR="00C05A63" w:rsidRDefault="00C05A63">
      <w:pPr>
        <w:pStyle w:val="newncpi"/>
      </w:pPr>
      <w:r>
        <w:t> </w:t>
      </w:r>
    </w:p>
    <w:p w:rsidR="00C05A63" w:rsidRDefault="00C05A63">
      <w:pPr>
        <w:pStyle w:val="preamble"/>
      </w:pPr>
      <w:r>
        <w:t>Совет Министров Республики Беларусь ПОСТАНОВЛЯЕТ:</w:t>
      </w:r>
    </w:p>
    <w:p w:rsidR="00C05A63" w:rsidRDefault="00C05A63">
      <w:pPr>
        <w:pStyle w:val="point"/>
      </w:pPr>
      <w:r>
        <w:t>1. Утвердить прилагаемое Положение о порядке размещения, архитектурного оформления и оборудования объектов придорожного сервиса на автомобильных дорогах общего пользования.</w:t>
      </w:r>
    </w:p>
    <w:p w:rsidR="00C05A63" w:rsidRDefault="00C05A63">
      <w:pPr>
        <w:pStyle w:val="point"/>
      </w:pPr>
      <w:r>
        <w:t>2. Подпункт 5.54 пункта 5 Положения о Министерстве транспорта и коммуникаций Республики Беларусь, утвержденного постановлением Совета Министров Республики Беларусь от 31 июля 2006 г. № 985 «Вопросы Министерства транспорта и коммуникаций Республики Беларусь» (Национальный реестр правовых актов Республики Беларусь, 2006 г., № 141, 5/22781), изложить в следующей редакции:</w:t>
      </w:r>
    </w:p>
    <w:p w:rsidR="00C05A63" w:rsidRDefault="00C05A63">
      <w:pPr>
        <w:pStyle w:val="underpoint"/>
      </w:pPr>
      <w:r>
        <w:rPr>
          <w:rStyle w:val="rednoun"/>
        </w:rPr>
        <w:t>«</w:t>
      </w:r>
      <w:r>
        <w:t>5.54. в пределах предоставленных полномочий утверждает генеральные схемы развития придорожного сервиса на республиканских автомобильных дорогах и осуществляет координацию деятельности республиканских органов государственного управления, местных исполнительных и распорядительных органов, юридических лиц, индивидуальных предпринимателей по размещению объектов придорожного сервиса;</w:t>
      </w:r>
      <w:r>
        <w:rPr>
          <w:rStyle w:val="rednoun"/>
        </w:rPr>
        <w:t>»</w:t>
      </w:r>
      <w:r>
        <w:t>.</w:t>
      </w:r>
    </w:p>
    <w:p w:rsidR="00C05A63" w:rsidRDefault="00C05A63">
      <w:pPr>
        <w:pStyle w:val="point"/>
      </w:pPr>
      <w:r>
        <w:t>3. Признать утратившими силу:</w:t>
      </w:r>
    </w:p>
    <w:p w:rsidR="00C05A63" w:rsidRDefault="00C05A63">
      <w:pPr>
        <w:pStyle w:val="newncpi"/>
      </w:pPr>
      <w:r>
        <w:t>постановление Совета Министров Республики Беларусь от 29 ноября 2000 г. № 1816 «Об упорядочении размещения и функционирования объектов сервиса на автомобильных дорогах общего пользования» (Национальный реестр правовых актов Республики Беларусь, 2000 г., № 114, 5/4667);</w:t>
      </w:r>
    </w:p>
    <w:p w:rsidR="00C05A63" w:rsidRDefault="00C05A63">
      <w:pPr>
        <w:pStyle w:val="newncpi"/>
      </w:pPr>
      <w:r>
        <w:t>пункт 126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C05A63" w:rsidRDefault="00C05A63">
      <w:pPr>
        <w:pStyle w:val="point"/>
      </w:pPr>
      <w:r>
        <w:t>4. Республиканским органам государственного управления и иным государственным организациям, подчиненным Правительству Республики Беларусь,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C05A63" w:rsidRDefault="00C05A63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C05A63" w:rsidRDefault="00C05A63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C05A6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5A63" w:rsidRDefault="00C05A63">
            <w:pPr>
              <w:pStyle w:val="newncpi0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5A63" w:rsidRDefault="00C05A63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C05A63" w:rsidRDefault="00C05A63">
      <w:pPr>
        <w:pStyle w:val="newncpi0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7"/>
        <w:gridCol w:w="2342"/>
      </w:tblGrid>
      <w:tr w:rsidR="00C05A6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A63" w:rsidRDefault="00C05A6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A63" w:rsidRDefault="00C05A63">
            <w:pPr>
              <w:pStyle w:val="capu1"/>
            </w:pPr>
            <w:r>
              <w:t>УТВЕРЖДЕНО</w:t>
            </w:r>
          </w:p>
          <w:p w:rsidR="00C05A63" w:rsidRDefault="00C05A63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05A63" w:rsidRDefault="00C05A63">
            <w:pPr>
              <w:pStyle w:val="cap1"/>
            </w:pPr>
            <w:r>
              <w:t>10.09.2008 № 1326</w:t>
            </w:r>
          </w:p>
        </w:tc>
      </w:tr>
    </w:tbl>
    <w:p w:rsidR="00C05A63" w:rsidRDefault="00C05A63">
      <w:pPr>
        <w:pStyle w:val="titleu"/>
      </w:pPr>
      <w:r>
        <w:t>ПОЛОЖЕНИЕ</w:t>
      </w:r>
      <w:r>
        <w:br/>
        <w:t>о порядке размещения, архитектурного оформления</w:t>
      </w:r>
      <w:r>
        <w:br/>
        <w:t>и оборудования объектов придорожного сервиса на автомобильных дорогах общего пользования</w:t>
      </w:r>
    </w:p>
    <w:p w:rsidR="00C05A63" w:rsidRDefault="00C05A63">
      <w:pPr>
        <w:pStyle w:val="point"/>
      </w:pPr>
      <w:r>
        <w:t>1. Настоящим Положением определяется порядок размещения, архитектурного оформления и оборудования объектов придорожного сервиса (за исключением средств наружной рекламы) на автомобильных дорогах общего пользования (далее – автомобильные дороги).</w:t>
      </w:r>
    </w:p>
    <w:p w:rsidR="00C05A63" w:rsidRDefault="00C05A63">
      <w:pPr>
        <w:pStyle w:val="point"/>
      </w:pPr>
      <w:r>
        <w:t>2. В настоящем Положении используются термины и их определения, указанные в Законе Республики Беларусь от 2 декабря 1994 года «Об автомобильных дорогах и дорожной деятельности» в редакции Закона Республики Беларусь от 22 июля 2003 года (Ведамасці Вярхоўнага Савета Рэспублiкi Беларусь, 1995 г., № 5, ст. 31; Национальный реестр правовых актов Республики Беларусь, 2003 г., № 83, 2/975) и Правилах дорожного движения, утвержденных Указом Президента Республики Беларусь от 28 ноября 2005 г. № 551 «О мерах по повышению безопасности дорожного движения» (Национальный реестр правовых актов Республики Беларусь, 2005 г., № 189, 1/6961).</w:t>
      </w:r>
    </w:p>
    <w:p w:rsidR="00C05A63" w:rsidRDefault="00C05A63">
      <w:pPr>
        <w:pStyle w:val="point"/>
      </w:pPr>
      <w:r>
        <w:t>3. Координация деятельности республиканских органов государственного управления, местных исполнительных и распорядительных органов, юридических лиц, индивидуальных предпринимателей по размещению объектов придорожного сервиса осуществляется:</w:t>
      </w:r>
    </w:p>
    <w:p w:rsidR="00C05A63" w:rsidRDefault="00C05A63">
      <w:pPr>
        <w:pStyle w:val="newncpi"/>
      </w:pPr>
      <w:r>
        <w:t>на республиканских автомобильных дорогах, а также в местах пересечения республиканских и местных автомобильных дорог на расстоянии 100 метров в обе стороны от оси республиканской автомобильной дороги – Министерством транспорта и коммуникаций;</w:t>
      </w:r>
    </w:p>
    <w:p w:rsidR="00C05A63" w:rsidRDefault="00C05A63">
      <w:pPr>
        <w:pStyle w:val="newncpi"/>
      </w:pPr>
      <w:r>
        <w:t>на местных автомобильных дорогах – облисполкомами.</w:t>
      </w:r>
    </w:p>
    <w:p w:rsidR="00C05A63" w:rsidRDefault="00C05A63">
      <w:pPr>
        <w:pStyle w:val="point"/>
      </w:pPr>
      <w:r>
        <w:t>4. Размещение объектов придорожного сервиса осуществляется в соответствии с генеральными схемами развития придорожного сервиса, утверждаемыми Министерством транспорта и коммуникаций (на республиканских автомобильных дорогах) или облисполкомами (на местных автомобильных дорогах). При этом на магистральных республиканских автомобильных дорогах с нумерацией «М» или «М/Е» размещение объектов придорожного сервиса осуществляется в местах, предусмотренных генеральной схемой развития придорожного сервиса на республиканских автомобильных дорогах.</w:t>
      </w:r>
    </w:p>
    <w:p w:rsidR="00C05A63" w:rsidRDefault="00C05A63">
      <w:pPr>
        <w:pStyle w:val="newncpi"/>
      </w:pPr>
      <w:r>
        <w:t>На республиканских автомобильных дорогах с нумерацией «Р» размещение объектов придорожного сервиса допускается в местах, не предусмотренных генеральными схемами развития придорожного сервиса, с соблюдением технических условий на инженерно-техническое обеспечение объекта, выдаваемых владельцем автомобильной дороги в соответствии с законодательством об административных процедурах.</w:t>
      </w:r>
    </w:p>
    <w:p w:rsidR="00C05A63" w:rsidRDefault="00C05A63">
      <w:pPr>
        <w:pStyle w:val="point"/>
      </w:pPr>
      <w:r>
        <w:t>5. Размещение объектов придорожного сервиса осуществляется в придорожной полосе (контролируемой зоне) автомобильной дороги. При размещении многофункциональных объектов придорожного сервиса допускается их строительство в соответствии с проектной документацией на земельном участке, часть которого располагается за пределами придорожной полосы (контролируемой зоны) автомобильной дороги.</w:t>
      </w:r>
    </w:p>
    <w:p w:rsidR="00C05A63" w:rsidRDefault="00C05A63">
      <w:pPr>
        <w:pStyle w:val="newncpi"/>
      </w:pPr>
      <w:r>
        <w:lastRenderedPageBreak/>
        <w:t>В пределах существующих и перспективных границ городов и других населенных пунктов размещение комплексов сервисных услуг осуществляется в соответствии с градостроительными регламентами, установленными генеральными планами населенных пунктов и градостроительными проектами детального планирования. В состав таких комплексов входят автозаправочные станции, объекты торговли и общественного питания, пункты постоя, станции технического обслуживания, охраняемые стоянки, другие объекты, предназначенные для обслуживания и отдыха пользователей автомобильных дорог и жителей населенных пунктов. В первоочередном порядке размещение комплексов сервисных услуг должно осуществляться на автомобильных дорогах, входящих в международные транспортные коридоры II Берлин–Варшава–Минск–Москва–Нижний Новгород и IX В Гомель–Жлобин–Минск–Гудогай–Вильнюс–Калининград вблизи населенных пунктов Брест, Барановичи, Минск, Борисов, Орша, Гомель, Жлобин, Бобруйск, Ошмяны.</w:t>
      </w:r>
    </w:p>
    <w:p w:rsidR="00C05A63" w:rsidRDefault="00C05A63">
      <w:pPr>
        <w:pStyle w:val="point"/>
      </w:pPr>
      <w:r>
        <w:t>5</w:t>
      </w:r>
      <w:r>
        <w:rPr>
          <w:vertAlign w:val="superscript"/>
        </w:rPr>
        <w:t>1</w:t>
      </w:r>
      <w:r>
        <w:t>. Объекты сервиса в зависимости от количества и видов предоставляемых услуг подразделяются на:</w:t>
      </w:r>
    </w:p>
    <w:p w:rsidR="00C05A63" w:rsidRDefault="00C05A63">
      <w:pPr>
        <w:pStyle w:val="newncpi"/>
      </w:pPr>
      <w:r>
        <w:t>объекты первого уровня – площадка для отдыха со стоянкой для автотранспортных средств и благоустроенной территорией (пешеходные дорожки, беседки, отапливаемые санитарно-бытовые помещения, столики со скамьями и малые архитектурные формы);</w:t>
      </w:r>
    </w:p>
    <w:p w:rsidR="00C05A63" w:rsidRDefault="00C05A63">
      <w:pPr>
        <w:pStyle w:val="newncpi"/>
      </w:pPr>
      <w:r>
        <w:t>объекты второго уровня – объект общественного питания дополнительно к объектам первого уровня;</w:t>
      </w:r>
    </w:p>
    <w:p w:rsidR="00C05A63" w:rsidRDefault="00C05A63">
      <w:pPr>
        <w:pStyle w:val="newncpi"/>
      </w:pPr>
      <w:r>
        <w:t>объекты третьего уровня – автозаправочная станция дополнительно к объектам второго уровня.</w:t>
      </w:r>
    </w:p>
    <w:p w:rsidR="00C05A63" w:rsidRDefault="00C05A63">
      <w:pPr>
        <w:pStyle w:val="newncpi"/>
      </w:pPr>
      <w:r>
        <w:t>На объектах второго и третьего уровней возможно дополнительное размещение гостиниц, туристических бюро, станций технического обслуживания, охраняемых стоянок, моек и иных сооружений.</w:t>
      </w:r>
    </w:p>
    <w:p w:rsidR="00C05A63" w:rsidRDefault="00C05A63">
      <w:pPr>
        <w:pStyle w:val="newncpi"/>
      </w:pPr>
      <w:r>
        <w:t>Владельцами республиканских автомобильных дорог обеспечивается строительство за счет средств республиканского бюджета переходно-скоростных полос и площадок для отдыха со стоянками для автотранспортных средств в местах, предусмотренных для размещения объектов придорожного сервиса третьего уровня генеральными схемами развития придорожного сервиса:</w:t>
      </w:r>
    </w:p>
    <w:p w:rsidR="00C05A63" w:rsidRDefault="00C05A63">
      <w:pPr>
        <w:pStyle w:val="newncpi"/>
      </w:pPr>
      <w:r>
        <w:t>при возведении, реконструкции и капитальном ремонте республиканских автомобильных дорог;</w:t>
      </w:r>
    </w:p>
    <w:p w:rsidR="00C05A63" w:rsidRDefault="00C05A63">
      <w:pPr>
        <w:pStyle w:val="newncpi"/>
      </w:pPr>
      <w:r>
        <w:t>в случае принятия облисполкомами в установленном порядке решения об отводе конкретному инвестору земельного участка для строительства объекта придорожного сервиса третьего уровня в таких местах (копия этого решения направляется владельцу республиканской автомобильной дороги).</w:t>
      </w:r>
    </w:p>
    <w:p w:rsidR="00C05A63" w:rsidRDefault="00C05A63">
      <w:pPr>
        <w:pStyle w:val="point"/>
      </w:pPr>
      <w:r>
        <w:t>6. В технических условиях на инженерно-техническое обеспечение объекта для последующей разработки проектно-сметной документации должны содержаться следующие требования к размещению, архитектурному оформлению и оборудованию объектов придорожного сервиса:</w:t>
      </w:r>
    </w:p>
    <w:p w:rsidR="00C05A63" w:rsidRDefault="00C05A63">
      <w:pPr>
        <w:pStyle w:val="underpoint"/>
      </w:pPr>
      <w:r>
        <w:t>6.1. требования к размещению объектов придорожного сервиса:</w:t>
      </w:r>
    </w:p>
    <w:p w:rsidR="00C05A63" w:rsidRDefault="00C05A63">
      <w:pPr>
        <w:pStyle w:val="newncpi"/>
      </w:pPr>
      <w:r>
        <w:t>при размещении объектов придорожного сервиса не допускается ухудшение видимости и (или) условий эксплуатации автомобильных дорог, их пропускной способности и других условий безопасности дорожного движения;</w:t>
      </w:r>
    </w:p>
    <w:p w:rsidR="00C05A63" w:rsidRDefault="00C05A63">
      <w:pPr>
        <w:pStyle w:val="newncpi"/>
      </w:pPr>
      <w:r>
        <w:t>на автомобильных дорогах с разделительной полосой между встречными направлениями движения, как правило, предусматривается двустороннее размещение объектов придорожного сервиса с обязательной установкой дорожного ограждения на разделительной полосе в пределах переходно-скоростных полос;</w:t>
      </w:r>
    </w:p>
    <w:p w:rsidR="00C05A63" w:rsidRDefault="00C05A63">
      <w:pPr>
        <w:pStyle w:val="newncpi"/>
      </w:pPr>
      <w:r>
        <w:t>объекты придорожного сервиса, имеющие заглубленные (стационарные) фундаменты, размещаются не ближе 50 метров от кромки проезжей части автомобильных дорог;</w:t>
      </w:r>
    </w:p>
    <w:p w:rsidR="00C05A63" w:rsidRDefault="00C05A63">
      <w:pPr>
        <w:pStyle w:val="newncpi"/>
      </w:pPr>
      <w:r>
        <w:lastRenderedPageBreak/>
        <w:t>при размещении объектов придорожного сервиса, имеющих заглубленные (стационарные) фундаменты, предусматриваются виды сервисных услуг в зависимости от уровня объектов;</w:t>
      </w:r>
    </w:p>
    <w:p w:rsidR="00C05A63" w:rsidRDefault="00C05A63">
      <w:pPr>
        <w:pStyle w:val="newncpi"/>
      </w:pPr>
      <w:r>
        <w:t>подъезды к объектам придорожного сервиса, их территориям, а также сами объекты и прилегающие к ним участки автомобильных дорог устраиваются и оборудуются необходимыми техническими средствами организации дорожного движения в соответствии с требованиями технических нормативных правовых актов;</w:t>
      </w:r>
    </w:p>
    <w:p w:rsidR="00C05A63" w:rsidRDefault="00C05A63">
      <w:pPr>
        <w:pStyle w:val="newncpi"/>
      </w:pPr>
      <w:r>
        <w:t>въезды на территории объектов придорожного сервиса и выезды из них должны быть с односторонним движением, при этом на участках республиканских автомобильных дорог I и II категории выезды из территорий объектов придорожного сервиса должны располагаться по ходу движения после въездов на эти территории;</w:t>
      </w:r>
    </w:p>
    <w:p w:rsidR="00C05A63" w:rsidRDefault="00C05A63">
      <w:pPr>
        <w:pStyle w:val="newncpi"/>
      </w:pPr>
      <w:r>
        <w:t>при реконструкции объектов придорожного сервиса, осуществляемой без сноса объекта, допускается размещение вновь пристраиваемых зданий и сооружений на расстоянии ближе 50 метров от края проезжей части, в случае если они возводятся не ближе имеющегося расстояния от реконструируемых зданий и сооружений до края проезжей части;</w:t>
      </w:r>
    </w:p>
    <w:p w:rsidR="00C05A63" w:rsidRDefault="00C05A63">
      <w:pPr>
        <w:pStyle w:val="underpoint"/>
      </w:pPr>
      <w:r>
        <w:t>6.2. требования к архитектурному оформлению и оборудованию объектов придорожного сервиса:</w:t>
      </w:r>
    </w:p>
    <w:p w:rsidR="00C05A63" w:rsidRDefault="00C05A63">
      <w:pPr>
        <w:pStyle w:val="newncpi"/>
      </w:pPr>
      <w:r>
        <w:t>архитектурное решение объектов придорожного сервиса увязывается со сложившимся архитектурным ансамблем автомобильных дорог, а их внешний вид должен соответствовать эстетическим требованиям;</w:t>
      </w:r>
    </w:p>
    <w:p w:rsidR="00C05A63" w:rsidRDefault="00C05A63">
      <w:pPr>
        <w:pStyle w:val="newncpi"/>
      </w:pPr>
      <w:r>
        <w:t>фасады объектов придорожного сервиса по материалу и цветовому решению выполняются в едином стиле для всего объекта придорожного сервиса;</w:t>
      </w:r>
    </w:p>
    <w:p w:rsidR="00C05A63" w:rsidRDefault="00C05A63">
      <w:pPr>
        <w:pStyle w:val="newncpi"/>
      </w:pPr>
      <w:r>
        <w:t>оформление интерьера объектов придорожного сервиса, как правило, выполняется в национальных традициях с использованием местного колорита;</w:t>
      </w:r>
    </w:p>
    <w:p w:rsidR="00C05A63" w:rsidRDefault="00C05A63">
      <w:pPr>
        <w:pStyle w:val="newncpi"/>
      </w:pPr>
      <w:r>
        <w:t>на автомобильных дорогах с разделительной полосой между встречными направлениями движения предусматривается обязательное освещение участка автомобильной дороги, прилегающего к объекту, в пределах переходно-скоростных полос;</w:t>
      </w:r>
    </w:p>
    <w:p w:rsidR="00C05A63" w:rsidRDefault="00C05A63">
      <w:pPr>
        <w:pStyle w:val="newncpi"/>
      </w:pPr>
      <w:r>
        <w:t>на автомобильных дорогах без разделительной полосы между встречными направлениями движения предусматривается обязательное освещение участка автомобильной дороги, прилегающего к объекту, на расстояние не менее 75 метров в обе стороны от объекта;</w:t>
      </w:r>
    </w:p>
    <w:p w:rsidR="00C05A63" w:rsidRDefault="00C05A63">
      <w:pPr>
        <w:pStyle w:val="newncpi"/>
      </w:pPr>
      <w:r>
        <w:t>на автомобильных дорогах с разделительной полосой между встречными направлениями движения для вновь строящихся объектов придорожного сервиса не допускается устройство пешеходных переходов в одном уровне с автомобильной дорогой;</w:t>
      </w:r>
    </w:p>
    <w:p w:rsidR="00C05A63" w:rsidRDefault="00C05A63">
      <w:pPr>
        <w:pStyle w:val="newncpi"/>
      </w:pPr>
      <w:r>
        <w:t>объекты придорожного сервиса оборудуются световыми информационными панно-указателями названия объекта, видимыми в темное время суток;</w:t>
      </w:r>
    </w:p>
    <w:p w:rsidR="00C05A63" w:rsidRDefault="00C05A63">
      <w:pPr>
        <w:pStyle w:val="newncpi"/>
      </w:pPr>
      <w:r>
        <w:t>объекты придорожного сервиса должны быть обеспечены автомобильными стоянками, контейнерами для мусора, электроснабжением, водоснабжением, канализацией и освещением;</w:t>
      </w:r>
    </w:p>
    <w:p w:rsidR="00C05A63" w:rsidRDefault="00C05A63">
      <w:pPr>
        <w:pStyle w:val="newncpi"/>
      </w:pPr>
      <w:r>
        <w:t>при возведении или реконструкции автозаправочных станций на республиканских автомобильных дорогах с нумерацией «М», «М/Е» или «Р» данный объект придорожного сервиса должен быть обеспечен стационарным торговым объектом, объектом общественного питания, автомобильной стоянкой не менее чем на два автобуса, пять грузовых и пять легковых автомобилей;</w:t>
      </w:r>
    </w:p>
    <w:p w:rsidR="00C05A63" w:rsidRDefault="00C05A63">
      <w:pPr>
        <w:pStyle w:val="newncpi"/>
      </w:pPr>
      <w:r>
        <w:t>объекты придорожного сервиса должны быть оборудованы специально обозначенными парковочными местами для стоянки автотранспортного средства, управляемого лицом с ограниченными физическими возможностями или перевозящего такое лицо;</w:t>
      </w:r>
    </w:p>
    <w:p w:rsidR="00C05A63" w:rsidRDefault="00C05A63">
      <w:pPr>
        <w:pStyle w:val="newncpi"/>
      </w:pPr>
      <w:r>
        <w:lastRenderedPageBreak/>
        <w:t>на территории объекта придорожного сервиса должна обеспечиваться возможность беспрепятственного передвижения лиц с ограниченными физическими возможностями, а также их доступа в здания и сооружения и передвижение внутри этих объектов;</w:t>
      </w:r>
    </w:p>
    <w:p w:rsidR="00C05A63" w:rsidRDefault="00C05A63">
      <w:pPr>
        <w:pStyle w:val="newncpi"/>
      </w:pPr>
      <w:r>
        <w:t>автозаправочные станции должны быть снабжены устройством вызова оператора для помощи в заправке автотранспортного средства, управляемого лицом с ограниченными физическими возможностями или перевозящего такое лицо;</w:t>
      </w:r>
    </w:p>
    <w:p w:rsidR="00C05A63" w:rsidRDefault="00C05A63">
      <w:pPr>
        <w:pStyle w:val="newncpi"/>
      </w:pPr>
      <w:r>
        <w:t>объекты придорожного сервиса в соответствии с проектно-сметной документацией должны быть оборудованы отапливаемыми санитарно-бытовыми помещениями для посетителей с возможностью использования их лицами с ограниченными физическими возможностями.</w:t>
      </w:r>
    </w:p>
    <w:p w:rsidR="00C05A63" w:rsidRDefault="00C05A63">
      <w:pPr>
        <w:pStyle w:val="point"/>
      </w:pPr>
      <w:r>
        <w:t>7. Генеральный план объекта придорожного сервиса согласовывается с территориальным органом архитектуры и градостроительства, выдавшим архитектурно-планировочное задание.</w:t>
      </w:r>
    </w:p>
    <w:p w:rsidR="00C05A63" w:rsidRDefault="00C05A63">
      <w:pPr>
        <w:pStyle w:val="newncpi"/>
      </w:pPr>
      <w:r>
        <w:t>Согласование места размещения объекта придорожного сервиса и выдача технических условий на инженерно-техническое обеспечение объекта осуществляются владельцами автомобильных дорог в пределах их компетенции в срок не более трех рабочих дней. При этом согласование места размещения объекта придорожного сервиса и выдача технических условий на инженерно-техническое обеспечение объекта осуществляются бесплатно.</w:t>
      </w:r>
    </w:p>
    <w:p w:rsidR="00C05A63" w:rsidRDefault="00C05A63">
      <w:pPr>
        <w:pStyle w:val="point"/>
      </w:pPr>
      <w:r>
        <w:t>8. Контроль за соблюдением порядка размещения, архитектурного оформления и оборудования объектов придорожного сервиса осуществляется уполномоченными государственными органами, а также владельцами автомобильных дорог в пределах их компетенции.</w:t>
      </w:r>
    </w:p>
    <w:p w:rsidR="00C05A63" w:rsidRDefault="00C05A63">
      <w:pPr>
        <w:pStyle w:val="newncpi"/>
      </w:pPr>
      <w:r>
        <w:t> </w:t>
      </w:r>
    </w:p>
    <w:p w:rsidR="00215F4C" w:rsidRDefault="00215F4C"/>
    <w:sectPr w:rsidR="00215F4C" w:rsidSect="00C05A63">
      <w:headerReference w:type="even" r:id="rId6"/>
      <w:headerReference w:type="default" r:id="rId7"/>
      <w:footerReference w:type="first" r:id="rId8"/>
      <w:pgSz w:w="11906" w:h="16838" w:code="9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24" w:rsidRDefault="00E60024" w:rsidP="00C05A63">
      <w:r>
        <w:separator/>
      </w:r>
    </w:p>
  </w:endnote>
  <w:endnote w:type="continuationSeparator" w:id="0">
    <w:p w:rsidR="00E60024" w:rsidRDefault="00E60024" w:rsidP="00C0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0"/>
      <w:gridCol w:w="7773"/>
    </w:tblGrid>
    <w:tr w:rsidR="00C05A63" w:rsidTr="00C05A63">
      <w:tc>
        <w:tcPr>
          <w:tcW w:w="1800" w:type="dxa"/>
          <w:shd w:val="clear" w:color="auto" w:fill="auto"/>
          <w:vAlign w:val="center"/>
        </w:tcPr>
        <w:p w:rsidR="00C05A63" w:rsidRDefault="00C05A63">
          <w:pPr>
            <w:pStyle w:val="a5"/>
            <w:ind w:firstLine="0"/>
          </w:pPr>
        </w:p>
      </w:tc>
      <w:tc>
        <w:tcPr>
          <w:tcW w:w="7773" w:type="dxa"/>
          <w:shd w:val="clear" w:color="auto" w:fill="auto"/>
          <w:vAlign w:val="center"/>
        </w:tcPr>
        <w:p w:rsidR="00C05A63" w:rsidRPr="00C05A63" w:rsidRDefault="00C05A63">
          <w:pPr>
            <w:pStyle w:val="a5"/>
            <w:ind w:firstLine="0"/>
            <w:rPr>
              <w:i/>
              <w:sz w:val="24"/>
            </w:rPr>
          </w:pPr>
        </w:p>
      </w:tc>
    </w:tr>
  </w:tbl>
  <w:p w:rsidR="00C05A63" w:rsidRDefault="00C05A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24" w:rsidRDefault="00E60024" w:rsidP="00C05A63">
      <w:r>
        <w:separator/>
      </w:r>
    </w:p>
  </w:footnote>
  <w:footnote w:type="continuationSeparator" w:id="0">
    <w:p w:rsidR="00E60024" w:rsidRDefault="00E60024" w:rsidP="00C05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63" w:rsidRDefault="00C05A63" w:rsidP="00C131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A63" w:rsidRDefault="00C0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63" w:rsidRPr="00C05A63" w:rsidRDefault="00C05A63" w:rsidP="00C13150">
    <w:pPr>
      <w:pStyle w:val="a3"/>
      <w:framePr w:wrap="around" w:vAnchor="text" w:hAnchor="margin" w:xAlign="center" w:y="1"/>
      <w:rPr>
        <w:rStyle w:val="a7"/>
        <w:sz w:val="24"/>
      </w:rPr>
    </w:pPr>
    <w:r w:rsidRPr="00C05A63">
      <w:rPr>
        <w:rStyle w:val="a7"/>
        <w:sz w:val="24"/>
      </w:rPr>
      <w:fldChar w:fldCharType="begin"/>
    </w:r>
    <w:r w:rsidRPr="00C05A63">
      <w:rPr>
        <w:rStyle w:val="a7"/>
        <w:sz w:val="24"/>
      </w:rPr>
      <w:instrText xml:space="preserve">PAGE  </w:instrText>
    </w:r>
    <w:r w:rsidRPr="00C05A63">
      <w:rPr>
        <w:rStyle w:val="a7"/>
        <w:sz w:val="24"/>
      </w:rPr>
      <w:fldChar w:fldCharType="separate"/>
    </w:r>
    <w:r>
      <w:rPr>
        <w:rStyle w:val="a7"/>
        <w:noProof/>
        <w:sz w:val="24"/>
      </w:rPr>
      <w:t>4</w:t>
    </w:r>
    <w:r w:rsidRPr="00C05A63">
      <w:rPr>
        <w:rStyle w:val="a7"/>
        <w:sz w:val="24"/>
      </w:rPr>
      <w:fldChar w:fldCharType="end"/>
    </w:r>
  </w:p>
  <w:p w:rsidR="00C05A63" w:rsidRPr="00C05A63" w:rsidRDefault="00C05A63">
    <w:pPr>
      <w:pStyle w:val="a3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63"/>
    <w:rsid w:val="000B4DA8"/>
    <w:rsid w:val="000C4030"/>
    <w:rsid w:val="00215F4C"/>
    <w:rsid w:val="00546230"/>
    <w:rsid w:val="00C05A63"/>
    <w:rsid w:val="00D439F8"/>
    <w:rsid w:val="00E6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05A63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C05A63"/>
    <w:pPr>
      <w:spacing w:before="240" w:after="240"/>
      <w:ind w:firstLine="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05A6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C05A6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C05A6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C05A63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C05A63"/>
    <w:pPr>
      <w:ind w:left="1021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C05A63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C05A63"/>
    <w:pPr>
      <w:spacing w:after="120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C05A63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C05A63"/>
    <w:pPr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C05A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5A6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5A6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5A63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C05A63"/>
  </w:style>
  <w:style w:type="character" w:customStyle="1" w:styleId="post">
    <w:name w:val="post"/>
    <w:basedOn w:val="a0"/>
    <w:rsid w:val="00C05A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5A6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05A6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05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A63"/>
  </w:style>
  <w:style w:type="paragraph" w:styleId="a5">
    <w:name w:val="footer"/>
    <w:basedOn w:val="a"/>
    <w:link w:val="a6"/>
    <w:uiPriority w:val="99"/>
    <w:semiHidden/>
    <w:unhideWhenUsed/>
    <w:rsid w:val="00C05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A63"/>
  </w:style>
  <w:style w:type="character" w:styleId="a7">
    <w:name w:val="page number"/>
    <w:basedOn w:val="a0"/>
    <w:uiPriority w:val="99"/>
    <w:semiHidden/>
    <w:unhideWhenUsed/>
    <w:rsid w:val="00C05A63"/>
  </w:style>
  <w:style w:type="table" w:styleId="a8">
    <w:name w:val="Table Grid"/>
    <w:basedOn w:val="a1"/>
    <w:uiPriority w:val="59"/>
    <w:rsid w:val="00C05A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12381</Characters>
  <Application>Microsoft Office Word</Application>
  <DocSecurity>0</DocSecurity>
  <Lines>229</Lines>
  <Paragraphs>75</Paragraphs>
  <ScaleCrop>false</ScaleCrop>
  <Company>itdep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v.vasilev</dc:creator>
  <cp:keywords/>
  <dc:description/>
  <cp:lastModifiedBy>v.vasilev</cp:lastModifiedBy>
  <cp:revision>1</cp:revision>
  <dcterms:created xsi:type="dcterms:W3CDTF">2022-01-28T08:49:00Z</dcterms:created>
  <dcterms:modified xsi:type="dcterms:W3CDTF">2022-01-28T08:50:00Z</dcterms:modified>
</cp:coreProperties>
</file>