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DC" w:rsidRDefault="00805EDC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805EDC" w:rsidRDefault="00805EDC">
      <w:pPr>
        <w:pStyle w:val="newncpi"/>
        <w:ind w:firstLine="0"/>
        <w:jc w:val="center"/>
      </w:pPr>
      <w:r>
        <w:rPr>
          <w:rStyle w:val="datepr"/>
        </w:rPr>
        <w:t>31 мая 2017 г.</w:t>
      </w:r>
      <w:r>
        <w:rPr>
          <w:rStyle w:val="number"/>
        </w:rPr>
        <w:t xml:space="preserve"> № 323</w:t>
      </w:r>
    </w:p>
    <w:p w:rsidR="00805EDC" w:rsidRDefault="00805EDC">
      <w:pPr>
        <w:pStyle w:val="titlencpi"/>
      </w:pPr>
      <w:r>
        <w:t>О прогнозах, бизнес-планах развития коммерческих организаций</w:t>
      </w:r>
    </w:p>
    <w:p w:rsidR="00805EDC" w:rsidRDefault="00805EDC">
      <w:pPr>
        <w:pStyle w:val="preamble"/>
      </w:pPr>
      <w:r>
        <w:t xml:space="preserve">На основании </w:t>
      </w:r>
      <w:r>
        <w:rPr>
          <w:u w:val="single"/>
        </w:rPr>
        <w:t>подпункта 4.1.4</w:t>
      </w:r>
      <w:r>
        <w:t xml:space="preserve"> пункта 4 постановления Совета Министров Республики Беларусь от 8 августа 2005 г. № 873 «О прогнозах, бизнес-планах развития коммерческих организаций» Гродненский областной исполнительный комитет РЕШИЛ:</w:t>
      </w:r>
    </w:p>
    <w:p w:rsidR="00805EDC" w:rsidRDefault="00805EDC">
      <w:pPr>
        <w:pStyle w:val="point"/>
      </w:pPr>
      <w:r>
        <w:t xml:space="preserve">1. Утвердить прилагаемую </w:t>
      </w:r>
      <w:r>
        <w:rPr>
          <w:u w:val="single"/>
        </w:rPr>
        <w:t>Инструкцию</w:t>
      </w:r>
      <w:r>
        <w:t xml:space="preserve"> о порядке согласования (защиты) в Гродненском областном исполнительном комитете прогнозов развития коммерческих организаций на пять лет, бизнес-планов их развития на год.</w:t>
      </w:r>
    </w:p>
    <w:p w:rsidR="00805EDC" w:rsidRDefault="00805EDC">
      <w:pPr>
        <w:pStyle w:val="point"/>
      </w:pPr>
      <w:r>
        <w:t>2. Признать утратившими силу:</w:t>
      </w:r>
    </w:p>
    <w:p w:rsidR="00805EDC" w:rsidRDefault="00805EDC">
      <w:pPr>
        <w:pStyle w:val="newncpi"/>
      </w:pPr>
      <w:r>
        <w:rPr>
          <w:u w:val="single"/>
        </w:rPr>
        <w:t>решение Гродненского областного исполнительного комитета от 30 сентября 2005 г. № 571</w:t>
      </w:r>
      <w:r>
        <w:t xml:space="preserve"> «О прогнозах, бизнес-планах развития и бизнес-планах инвестиционных проектов государственных коммерческих организаций, негосударственных коммерческих организаций, акции (доли) которых принадлежат Гродненской области» (Национальный реестр правовых актов Республики Беларусь, 2005 г., № 186, 9/4626);</w:t>
      </w:r>
    </w:p>
    <w:p w:rsidR="00805EDC" w:rsidRDefault="00805EDC">
      <w:pPr>
        <w:pStyle w:val="newncpi"/>
      </w:pPr>
      <w:r>
        <w:rPr>
          <w:u w:val="single"/>
        </w:rPr>
        <w:t>решение Гродненского областного исполнительного комитета от 13 октября 2006 г. № 644</w:t>
      </w:r>
      <w:r>
        <w:t xml:space="preserve"> «О внесении изменений и дополнений в решение Гродненского областного исполнительного комитета от 30 сентября 2005 г. № 571» (Национал</w:t>
      </w:r>
      <w:bookmarkStart w:id="0" w:name="_GoBack"/>
      <w:bookmarkEnd w:id="0"/>
      <w:r>
        <w:t>ьный реестр правовых актов Республики Беларусь, 2006 г., № 196, 9/5509);</w:t>
      </w:r>
    </w:p>
    <w:p w:rsidR="00805EDC" w:rsidRDefault="00805EDC">
      <w:pPr>
        <w:pStyle w:val="newncpi"/>
      </w:pPr>
      <w:r>
        <w:rPr>
          <w:u w:val="single"/>
        </w:rPr>
        <w:t>решение Гродненского областного исполнительного комитета от 15 января 2007 г. № 34</w:t>
      </w:r>
      <w:r>
        <w:t xml:space="preserve"> «О внесении дополнений и изменений в решение Гродненского областного исполнительного комитета от 30 сентября 2005 г. № 571» (Национальный реестр правовых актов Республики Беларусь, 2007 г., № 64, 9/6638);</w:t>
      </w:r>
    </w:p>
    <w:p w:rsidR="00805EDC" w:rsidRDefault="00805EDC">
      <w:pPr>
        <w:pStyle w:val="newncpi"/>
      </w:pPr>
      <w:r>
        <w:rPr>
          <w:u w:val="single"/>
        </w:rPr>
        <w:t>решение Гродненского областного исполнительного комитета от 11 ноября 2008 г. № 842</w:t>
      </w:r>
      <w:r>
        <w:t xml:space="preserve"> «О внесении дополнений и изменений в решение Гродненского областного исполнительного комитета от 30 сентября 2005 г. № 571» (Национальный реестр правовых актов Республики Беларусь, 2008 г., № 298, 9/19836);</w:t>
      </w:r>
    </w:p>
    <w:p w:rsidR="00805EDC" w:rsidRDefault="00805EDC">
      <w:pPr>
        <w:pStyle w:val="newncpi"/>
      </w:pPr>
      <w:r>
        <w:rPr>
          <w:u w:val="single"/>
        </w:rPr>
        <w:t>решение Гродненского областного исполнительного комитета от 9 апреля 2009 г. № 257</w:t>
      </w:r>
      <w:r>
        <w:t xml:space="preserve"> «О внесении дополнения в решение Гродненского областного исполнительного комитета от 30 сентября 2005 г. № 571» (Национальный реестр правовых актов Республики Беларусь, 2009 г., № 116, 9/23497).</w:t>
      </w:r>
    </w:p>
    <w:p w:rsidR="00805EDC" w:rsidRDefault="00805EDC">
      <w:pPr>
        <w:pStyle w:val="point"/>
      </w:pPr>
      <w:r>
        <w:t>3. Настоящее решение вступает в силу после его официального опубликования.</w:t>
      </w:r>
    </w:p>
    <w:p w:rsidR="00805EDC" w:rsidRDefault="00805E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05E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5EDC" w:rsidRDefault="00805ED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5EDC" w:rsidRDefault="00805EDC">
            <w:pPr>
              <w:pStyle w:val="newncpi0"/>
              <w:jc w:val="right"/>
            </w:pPr>
            <w:r>
              <w:rPr>
                <w:rStyle w:val="pers"/>
              </w:rPr>
              <w:t>В.В.Кравцов</w:t>
            </w:r>
          </w:p>
        </w:tc>
      </w:tr>
      <w:tr w:rsidR="00805E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5EDC" w:rsidRDefault="00805ED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5EDC" w:rsidRDefault="00805EDC">
            <w:pPr>
              <w:pStyle w:val="newncpi0"/>
              <w:jc w:val="right"/>
            </w:pPr>
            <w:r>
              <w:t> </w:t>
            </w:r>
          </w:p>
        </w:tc>
      </w:tr>
      <w:tr w:rsidR="00805E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5EDC" w:rsidRDefault="00805EDC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5EDC" w:rsidRDefault="00805EDC">
            <w:pPr>
              <w:pStyle w:val="newncpi0"/>
              <w:jc w:val="right"/>
            </w:pPr>
            <w:r>
              <w:rPr>
                <w:rStyle w:val="pers"/>
              </w:rPr>
              <w:t>И.А.Попов</w:t>
            </w:r>
          </w:p>
        </w:tc>
      </w:tr>
    </w:tbl>
    <w:p w:rsidR="00805EDC" w:rsidRDefault="00805ED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805ED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5EDC" w:rsidRDefault="00805EDC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5EDC" w:rsidRDefault="00805EDC">
            <w:pPr>
              <w:pStyle w:val="capu1"/>
            </w:pPr>
            <w:r>
              <w:t>УТВЕРЖДЕНО</w:t>
            </w:r>
          </w:p>
          <w:p w:rsidR="00805EDC" w:rsidRDefault="00805EDC">
            <w:pPr>
              <w:pStyle w:val="cap1"/>
            </w:pPr>
            <w:r>
              <w:t>Решение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  <w:r>
              <w:br/>
              <w:t>31.05.2017 № 323</w:t>
            </w:r>
          </w:p>
        </w:tc>
      </w:tr>
    </w:tbl>
    <w:p w:rsidR="00805EDC" w:rsidRDefault="00805EDC">
      <w:pPr>
        <w:pStyle w:val="titleu"/>
      </w:pPr>
      <w:r>
        <w:t>ИНСТРУКЦИЯ</w:t>
      </w:r>
      <w:r>
        <w:br/>
        <w:t>о порядке согласования (защиты) в Гродненском областном исполнительном комитете прогнозов развития коммерческих организаций на пять лет, бизнес-планов их развития на год</w:t>
      </w:r>
    </w:p>
    <w:p w:rsidR="00805EDC" w:rsidRDefault="00805EDC">
      <w:pPr>
        <w:pStyle w:val="point"/>
      </w:pPr>
      <w:r>
        <w:t xml:space="preserve">1. Настоящая Инструкция устанавливает порядок согласования в Гродненском областном исполнительном комитете (далее – облисполком) прогнозов развития </w:t>
      </w:r>
      <w:r>
        <w:lastRenderedPageBreak/>
        <w:t>государственных коммерческих организаций, имущество которых находится в собственности Гродненской области, негосударственных коммерческих организаций, акции (доли) которых принадлежат Гродненской области (далее – коммерческие организации, имущество которых находится в собственности Гродненской области), государственных коммерческих организаций, имущество которых находится в собственности административно-территориальных единиц Гродненской области, негосударственных коммерческих организаций, акции (доли) которых принадлежат административно-территориальным единицам Гродненской области (далее – коммерческие организации, имущество которых находится в собственности административно-территориальных единиц Гродненской области), на пять лет (далее – прогнозы развития), бизнес-планов их развития на год (далее – бизнес-планы развития).</w:t>
      </w:r>
    </w:p>
    <w:p w:rsidR="00805EDC" w:rsidRDefault="00805EDC">
      <w:pPr>
        <w:pStyle w:val="point"/>
      </w:pPr>
      <w:r>
        <w:t>2. Прогнозы развития, бизнес-планы развития:</w:t>
      </w:r>
    </w:p>
    <w:p w:rsidR="00805EDC" w:rsidRDefault="00805EDC">
      <w:pPr>
        <w:pStyle w:val="underpoint"/>
      </w:pPr>
      <w:r>
        <w:t>2.1. руководителями коммерческих организаций, имущество которых находится в собственности Гродненской области, направляются для рассмотрения в комитеты, управления, отделы облисполкома;</w:t>
      </w:r>
    </w:p>
    <w:p w:rsidR="00805EDC" w:rsidRDefault="00805EDC">
      <w:pPr>
        <w:pStyle w:val="underpoint"/>
      </w:pPr>
      <w:r>
        <w:t>2.2. руководителями коммерческих организаций, имущество которых находится в собственности административно-территориальных единиц Гродненской области, направляются для рассмотрения в управления, отделы Гродненского городского, районных исполнительных комитетов (далее – горрайисполкомы).</w:t>
      </w:r>
    </w:p>
    <w:p w:rsidR="00805EDC" w:rsidRDefault="00805EDC">
      <w:pPr>
        <w:pStyle w:val="point"/>
      </w:pPr>
      <w:r>
        <w:t xml:space="preserve">3. После рассмотрения в соответствующем комитете, управлении, отделе облисполкома, горрайисполкома (далее – органы управления) в соответствии с утверждаемыми ими графиками прогнозы развития, бизнес-планы развития, за исключением случаев, указанных в </w:t>
      </w:r>
      <w:r>
        <w:rPr>
          <w:u w:val="single"/>
        </w:rPr>
        <w:t>пункте 4</w:t>
      </w:r>
      <w:r>
        <w:t xml:space="preserve"> настоящей Инструкции, согласовываются руководителями (их заместителями) соответствующих органов управления и направляются коммерческим организациям, имущество которых находится в собственности Гродненской области, коммерческим организациям, имущество которых находится в собственности административно-территориальных единиц Гродненской области (далее – коммерческие организации). Общий срок рассмотрения и согласования не должен превышать 30 дней.</w:t>
      </w:r>
    </w:p>
    <w:p w:rsidR="00805EDC" w:rsidRDefault="00805EDC">
      <w:pPr>
        <w:pStyle w:val="point"/>
      </w:pPr>
      <w:r>
        <w:t>4. На заседаниях рабочих групп облисполкома, возглавляемых первым заместителем, заместителями председателя облисполкома, осуществляющими руководство в соответствующей сфере, рассматриваются в соответствии с утверждаемыми ими графиками:</w:t>
      </w:r>
    </w:p>
    <w:p w:rsidR="00805EDC" w:rsidRDefault="00805EDC">
      <w:pPr>
        <w:pStyle w:val="newncpi"/>
      </w:pPr>
      <w:r>
        <w:t>прогнозы развития, бизнес-планы развития коммерческих организаций, за которыми установлен особый контроль по выполнению основных целевых показателей прогноза социально-экономического развития;</w:t>
      </w:r>
    </w:p>
    <w:p w:rsidR="00805EDC" w:rsidRDefault="00805EDC">
      <w:pPr>
        <w:pStyle w:val="newncpi"/>
      </w:pPr>
      <w:r>
        <w:t>прогнозы развития, бизнес-планы развития, по которым в ходе рассмотрения остались разногласия и нерешенные вопросы.</w:t>
      </w:r>
    </w:p>
    <w:p w:rsidR="00805EDC" w:rsidRDefault="00805EDC">
      <w:pPr>
        <w:pStyle w:val="newncpi"/>
      </w:pPr>
      <w:r>
        <w:t>После одобрения рабочими группами прогнозы развития, бизнес-планы развития согласовываются первым заместителем, заместителями председателя облисполкома, осуществляющими руководство в соответствующей сфере, и направляются коммерческим организациям. Общий срок рассмотрения и согласования не должен превышать 30 дней.</w:t>
      </w:r>
    </w:p>
    <w:p w:rsidR="00805EDC" w:rsidRDefault="00805EDC">
      <w:pPr>
        <w:pStyle w:val="point"/>
      </w:pPr>
      <w:r>
        <w:t>5. В случае если реализация прогнозов развития, бизнес-планов развития осуществляются с привлечением долгосрочного кредита, они вносятся коммерческими организациями в органы управления для согласования только после рассмотрения их банками.</w:t>
      </w:r>
    </w:p>
    <w:p w:rsidR="00805EDC" w:rsidRDefault="00805EDC">
      <w:pPr>
        <w:pStyle w:val="point"/>
      </w:pPr>
      <w:r>
        <w:t>6. Прогнозы развития коммерческих организаций, бизнес-планы развития, реализуемые с кредитной поддержкой банка, по которым имеются отрицательные заключения кредитующих банков или другие нерешенные вопросы, рассматриваются на заседаниях комиссии облисполкома по развитию коммерческих организаций.</w:t>
      </w:r>
    </w:p>
    <w:p w:rsidR="00805EDC" w:rsidRDefault="00805EDC">
      <w:pPr>
        <w:pStyle w:val="point"/>
      </w:pPr>
      <w:r>
        <w:t xml:space="preserve">7. Если в согласованные бизнес-планы развития вносятся изменения и дополнения, которые приводят к снижению доведенных и контролируемых показателей деятельности </w:t>
      </w:r>
      <w:r>
        <w:lastRenderedPageBreak/>
        <w:t>коммерческих организаций, то они подлежат повторному рассмотрению и согласованию в порядке, установленном настоящей Инструкцией.</w:t>
      </w:r>
    </w:p>
    <w:p w:rsidR="00805EDC" w:rsidRDefault="00805EDC">
      <w:pPr>
        <w:pStyle w:val="newncpi"/>
      </w:pPr>
      <w:r>
        <w:t> </w:t>
      </w:r>
    </w:p>
    <w:p w:rsidR="000A4FFC" w:rsidRDefault="000A4FFC"/>
    <w:sectPr w:rsidR="000A4FFC" w:rsidSect="00805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708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0A" w:rsidRDefault="00A9780A" w:rsidP="00805EDC">
      <w:r>
        <w:separator/>
      </w:r>
    </w:p>
  </w:endnote>
  <w:endnote w:type="continuationSeparator" w:id="0">
    <w:p w:rsidR="00A9780A" w:rsidRDefault="00A9780A" w:rsidP="0080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DC" w:rsidRDefault="00805E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DC" w:rsidRDefault="00805E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Look w:val="04A0" w:firstRow="1" w:lastRow="0" w:firstColumn="1" w:lastColumn="0" w:noHBand="0" w:noVBand="1"/>
    </w:tblPr>
    <w:tblGrid>
      <w:gridCol w:w="4673"/>
      <w:gridCol w:w="4674"/>
    </w:tblGrid>
    <w:tr w:rsidR="00805EDC" w:rsidTr="00805EDC">
      <w:tc>
        <w:tcPr>
          <w:tcW w:w="4673" w:type="dxa"/>
        </w:tcPr>
        <w:p w:rsidR="00805EDC" w:rsidRDefault="00805EDC">
          <w:pPr>
            <w:pStyle w:val="a5"/>
          </w:pPr>
        </w:p>
      </w:tc>
      <w:tc>
        <w:tcPr>
          <w:tcW w:w="4674" w:type="dxa"/>
        </w:tcPr>
        <w:p w:rsidR="00805EDC" w:rsidRDefault="00805EDC">
          <w:pPr>
            <w:pStyle w:val="a5"/>
          </w:pPr>
        </w:p>
      </w:tc>
    </w:tr>
  </w:tbl>
  <w:p w:rsidR="00805EDC" w:rsidRDefault="00805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0A" w:rsidRDefault="00A9780A" w:rsidP="00805EDC">
      <w:r>
        <w:separator/>
      </w:r>
    </w:p>
  </w:footnote>
  <w:footnote w:type="continuationSeparator" w:id="0">
    <w:p w:rsidR="00A9780A" w:rsidRDefault="00A9780A" w:rsidP="0080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DC" w:rsidRDefault="00805EDC" w:rsidP="00B9526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05EDC" w:rsidRDefault="00805E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DC" w:rsidRPr="00805EDC" w:rsidRDefault="00805EDC" w:rsidP="00B95267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805EDC">
      <w:rPr>
        <w:rStyle w:val="a7"/>
        <w:rFonts w:cs="Times New Roman"/>
        <w:sz w:val="24"/>
      </w:rPr>
      <w:fldChar w:fldCharType="begin"/>
    </w:r>
    <w:r w:rsidRPr="00805EDC">
      <w:rPr>
        <w:rStyle w:val="a7"/>
        <w:rFonts w:cs="Times New Roman"/>
        <w:sz w:val="24"/>
      </w:rPr>
      <w:instrText xml:space="preserve"> PAGE </w:instrText>
    </w:r>
    <w:r w:rsidRPr="00805EDC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2</w:t>
    </w:r>
    <w:r w:rsidRPr="00805EDC">
      <w:rPr>
        <w:rStyle w:val="a7"/>
        <w:rFonts w:cs="Times New Roman"/>
        <w:sz w:val="24"/>
      </w:rPr>
      <w:fldChar w:fldCharType="end"/>
    </w:r>
  </w:p>
  <w:p w:rsidR="00805EDC" w:rsidRPr="00805EDC" w:rsidRDefault="00805EDC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DC" w:rsidRDefault="00805E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DC"/>
    <w:rsid w:val="000A4FFC"/>
    <w:rsid w:val="00805EDC"/>
    <w:rsid w:val="00A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7AAA2-4631-44F5-8612-031777B7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05EDC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805EDC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05ED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05ED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05ED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05EDC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805EDC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805ED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5EDC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05ED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05E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05E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05ED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05E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05ED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05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EDC"/>
  </w:style>
  <w:style w:type="paragraph" w:styleId="a5">
    <w:name w:val="footer"/>
    <w:basedOn w:val="a"/>
    <w:link w:val="a6"/>
    <w:uiPriority w:val="99"/>
    <w:unhideWhenUsed/>
    <w:rsid w:val="00805E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EDC"/>
  </w:style>
  <w:style w:type="character" w:styleId="a7">
    <w:name w:val="page number"/>
    <w:basedOn w:val="a0"/>
    <w:uiPriority w:val="99"/>
    <w:semiHidden/>
    <w:unhideWhenUsed/>
    <w:rsid w:val="00805EDC"/>
  </w:style>
  <w:style w:type="table" w:styleId="a8">
    <w:name w:val="Table Grid"/>
    <w:basedOn w:val="a1"/>
    <w:uiPriority w:val="3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5718</Characters>
  <Application>Microsoft Office Word</Application>
  <DocSecurity>0</DocSecurity>
  <Lines>107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 L.A..</dc:creator>
  <cp:keywords/>
  <dc:description/>
  <cp:lastModifiedBy>Kulikova L.A..</cp:lastModifiedBy>
  <cp:revision>1</cp:revision>
  <dcterms:created xsi:type="dcterms:W3CDTF">2025-07-14T05:56:00Z</dcterms:created>
  <dcterms:modified xsi:type="dcterms:W3CDTF">2025-07-14T05:57:00Z</dcterms:modified>
</cp:coreProperties>
</file>